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D63211" w14:textId="634BB6E7" w:rsidR="005D0D78" w:rsidRPr="005D0D78" w:rsidRDefault="005D0D78" w:rsidP="005D0D78">
      <w:pPr>
        <w:spacing w:after="160" w:line="259" w:lineRule="auto"/>
        <w:jc w:val="center"/>
        <w:rPr>
          <w:rFonts w:eastAsia="Times New Roman" w:cstheme="minorHAnsi"/>
          <w:b/>
          <w:bCs/>
          <w:color w:val="000000" w:themeColor="text1"/>
        </w:rPr>
      </w:pPr>
      <w:r w:rsidRPr="005D0D78">
        <w:rPr>
          <w:rFonts w:eastAsia="Times New Roman" w:cstheme="minorHAnsi"/>
          <w:b/>
          <w:bCs/>
          <w:color w:val="000000" w:themeColor="text1"/>
        </w:rPr>
        <w:t>STAVBA</w:t>
      </w:r>
    </w:p>
    <w:p w14:paraId="2A5CCA7B" w14:textId="68012AB2" w:rsidR="00213B27" w:rsidRPr="005D0D78" w:rsidRDefault="00213B27" w:rsidP="00213B27">
      <w:pPr>
        <w:spacing w:after="160" w:line="259" w:lineRule="auto"/>
        <w:rPr>
          <w:rFonts w:eastAsia="Times New Roman" w:cstheme="minorHAnsi"/>
          <w:color w:val="000000" w:themeColor="text1"/>
        </w:rPr>
      </w:pPr>
      <w:r w:rsidRPr="005D0D78">
        <w:rPr>
          <w:rFonts w:eastAsia="Times New Roman" w:cstheme="minorHAnsi"/>
          <w:b/>
          <w:bCs/>
          <w:color w:val="000000" w:themeColor="text1"/>
        </w:rPr>
        <w:t xml:space="preserve">Příloha </w:t>
      </w:r>
      <w:r w:rsidR="004A3864" w:rsidRPr="005D0D78">
        <w:rPr>
          <w:rFonts w:eastAsia="Times New Roman" w:cstheme="minorHAnsi"/>
          <w:b/>
          <w:bCs/>
          <w:color w:val="000000" w:themeColor="text1"/>
        </w:rPr>
        <w:t xml:space="preserve">č. </w:t>
      </w:r>
      <w:r w:rsidR="008C0F76" w:rsidRPr="005D0D78">
        <w:rPr>
          <w:rFonts w:eastAsia="Times New Roman" w:cstheme="minorHAnsi"/>
          <w:b/>
          <w:bCs/>
          <w:color w:val="000000" w:themeColor="text1"/>
        </w:rPr>
        <w:t>3</w:t>
      </w:r>
    </w:p>
    <w:p w14:paraId="44D08F79" w14:textId="43E1DFD7" w:rsidR="00213B27" w:rsidRPr="004A3864" w:rsidRDefault="00213B27" w:rsidP="00213B27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2"/>
          <w:szCs w:val="22"/>
        </w:rPr>
      </w:pPr>
      <w:r w:rsidRPr="004A3864">
        <w:rPr>
          <w:rFonts w:eastAsia="Times New Roman" w:cstheme="minorHAnsi"/>
          <w:color w:val="000000" w:themeColor="text1"/>
          <w:sz w:val="22"/>
          <w:szCs w:val="22"/>
        </w:rPr>
        <w:t xml:space="preserve">Propagandu můžeme definovat jako emotivně vyhrocenou reklamu, která vytrhává informace z kontextu. Záměrně tedy zkresluje a zjednodušuje skutečnou situaci. Snaží se tím ovlivnit náš názor nebo postoj k něčemu. Může buď něco nebo někoho očerňovat nebo naopak něco nebo někoho oslavovat, </w:t>
      </w:r>
      <w:r w:rsidR="002065DF">
        <w:rPr>
          <w:rFonts w:eastAsia="Times New Roman" w:cstheme="minorHAnsi"/>
          <w:color w:val="000000" w:themeColor="text1"/>
          <w:sz w:val="22"/>
          <w:szCs w:val="22"/>
        </w:rPr>
        <w:t>„</w:t>
      </w:r>
      <w:r w:rsidRPr="004A3864">
        <w:rPr>
          <w:rFonts w:eastAsia="Times New Roman" w:cstheme="minorHAnsi"/>
          <w:color w:val="000000" w:themeColor="text1"/>
          <w:sz w:val="22"/>
          <w:szCs w:val="22"/>
        </w:rPr>
        <w:t>vynášet do nebes</w:t>
      </w:r>
      <w:r w:rsidR="002065DF">
        <w:rPr>
          <w:rFonts w:eastAsia="Times New Roman" w:cstheme="minorHAnsi"/>
          <w:color w:val="000000" w:themeColor="text1"/>
          <w:sz w:val="22"/>
          <w:szCs w:val="22"/>
        </w:rPr>
        <w:t>“</w:t>
      </w:r>
      <w:r w:rsidR="002065DF" w:rsidRPr="004A3864">
        <w:rPr>
          <w:rFonts w:eastAsia="Times New Roman" w:cstheme="minorHAnsi"/>
          <w:color w:val="000000" w:themeColor="text1"/>
          <w:sz w:val="22"/>
          <w:szCs w:val="22"/>
        </w:rPr>
        <w:t xml:space="preserve">. </w:t>
      </w:r>
      <w:r w:rsidRPr="004A3864">
        <w:rPr>
          <w:rFonts w:eastAsia="Times New Roman" w:cstheme="minorHAnsi"/>
          <w:color w:val="000000" w:themeColor="text1"/>
          <w:sz w:val="22"/>
          <w:szCs w:val="22"/>
        </w:rPr>
        <w:t>Cílem je přesvědčit společnost, že určitá činnost je naprosto v pořádku a společnosti pomáhá, nebo naopak zastrašit protivníka tak, aby se přestal bránit nebo bojovat.</w:t>
      </w:r>
    </w:p>
    <w:p w14:paraId="101CF70B" w14:textId="4B5505A9" w:rsidR="00213B27" w:rsidRPr="004A3864" w:rsidRDefault="00213B27" w:rsidP="00213B27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2"/>
          <w:szCs w:val="22"/>
        </w:rPr>
      </w:pPr>
      <w:r w:rsidRPr="004A3864">
        <w:rPr>
          <w:rFonts w:eastAsia="Times New Roman" w:cstheme="minorHAnsi"/>
          <w:color w:val="000000" w:themeColor="text1"/>
          <w:sz w:val="22"/>
          <w:szCs w:val="22"/>
        </w:rPr>
        <w:t>V případě našeho úkolu je tedy cílem nakreslit takový plakát, který bude:</w:t>
      </w:r>
    </w:p>
    <w:p w14:paraId="423E0B8E" w14:textId="4D57945E" w:rsidR="00213B27" w:rsidRPr="004A3864" w:rsidRDefault="002065DF" w:rsidP="00213B27">
      <w:pPr>
        <w:pStyle w:val="Odstavecseseznamem"/>
        <w:numPr>
          <w:ilvl w:val="0"/>
          <w:numId w:val="1"/>
        </w:numPr>
        <w:spacing w:line="259" w:lineRule="auto"/>
        <w:jc w:val="both"/>
        <w:rPr>
          <w:rFonts w:eastAsia="Times New Roman" w:cstheme="minorHAnsi"/>
          <w:color w:val="000000" w:themeColor="text1"/>
          <w:sz w:val="22"/>
          <w:szCs w:val="22"/>
        </w:rPr>
      </w:pPr>
      <w:r>
        <w:rPr>
          <w:rFonts w:eastAsia="Times New Roman" w:cstheme="minorHAnsi"/>
          <w:color w:val="000000" w:themeColor="text1"/>
          <w:sz w:val="22"/>
          <w:szCs w:val="22"/>
        </w:rPr>
        <w:t>z</w:t>
      </w:r>
      <w:r w:rsidRPr="004A3864">
        <w:rPr>
          <w:rFonts w:eastAsia="Times New Roman" w:cstheme="minorHAnsi"/>
          <w:color w:val="000000" w:themeColor="text1"/>
          <w:sz w:val="22"/>
          <w:szCs w:val="22"/>
        </w:rPr>
        <w:t xml:space="preserve">kreslovat </w:t>
      </w:r>
      <w:r w:rsidR="00213B27" w:rsidRPr="004A3864">
        <w:rPr>
          <w:rFonts w:eastAsia="Times New Roman" w:cstheme="minorHAnsi"/>
          <w:color w:val="000000" w:themeColor="text1"/>
          <w:sz w:val="22"/>
          <w:szCs w:val="22"/>
        </w:rPr>
        <w:t>a vytrhávat informace z kontextu (bude je tedy zjednodušovat): nakreslíme pouze šťastné pracující děti na stavbě, nebudeme kreslit to, že nyní nemohou chodit do školy nebo že pracují v nebezpečných podmínkách</w:t>
      </w:r>
      <w:r>
        <w:rPr>
          <w:rFonts w:eastAsia="Times New Roman" w:cstheme="minorHAnsi"/>
          <w:color w:val="000000" w:themeColor="text1"/>
          <w:sz w:val="22"/>
          <w:szCs w:val="22"/>
        </w:rPr>
        <w:t>,</w:t>
      </w:r>
    </w:p>
    <w:p w14:paraId="614E2704" w14:textId="65D84DDB" w:rsidR="00213B27" w:rsidRPr="004A3864" w:rsidRDefault="00213B27" w:rsidP="00213B27">
      <w:pPr>
        <w:pStyle w:val="Odstavecseseznamem"/>
        <w:numPr>
          <w:ilvl w:val="0"/>
          <w:numId w:val="1"/>
        </w:numPr>
        <w:spacing w:after="160" w:line="259" w:lineRule="auto"/>
        <w:jc w:val="both"/>
        <w:rPr>
          <w:rFonts w:eastAsia="Times New Roman" w:cstheme="minorHAnsi"/>
          <w:color w:val="000000" w:themeColor="text1"/>
          <w:sz w:val="22"/>
          <w:szCs w:val="22"/>
        </w:rPr>
      </w:pPr>
      <w:r w:rsidRPr="004A3864">
        <w:rPr>
          <w:rFonts w:eastAsia="Times New Roman" w:cstheme="minorHAnsi"/>
          <w:color w:val="000000" w:themeColor="text1"/>
          <w:sz w:val="22"/>
          <w:szCs w:val="22"/>
        </w:rPr>
        <w:t xml:space="preserve">oslavovat pracující děti a stavbu, naopak může očerňovat ty, </w:t>
      </w:r>
      <w:r w:rsidR="002065DF">
        <w:rPr>
          <w:rFonts w:eastAsia="Times New Roman" w:cstheme="minorHAnsi"/>
          <w:color w:val="000000" w:themeColor="text1"/>
          <w:sz w:val="22"/>
          <w:szCs w:val="22"/>
        </w:rPr>
        <w:t>kteří</w:t>
      </w:r>
      <w:r w:rsidR="002065DF" w:rsidRPr="004A3864">
        <w:rPr>
          <w:rFonts w:eastAsia="Times New Roman" w:cstheme="minorHAnsi"/>
          <w:color w:val="000000" w:themeColor="text1"/>
          <w:sz w:val="22"/>
          <w:szCs w:val="22"/>
        </w:rPr>
        <w:t xml:space="preserve"> </w:t>
      </w:r>
      <w:r w:rsidRPr="004A3864">
        <w:rPr>
          <w:rFonts w:eastAsia="Times New Roman" w:cstheme="minorHAnsi"/>
          <w:color w:val="000000" w:themeColor="text1"/>
          <w:sz w:val="22"/>
          <w:szCs w:val="22"/>
        </w:rPr>
        <w:t>nepracují</w:t>
      </w:r>
      <w:r w:rsidR="002065DF">
        <w:rPr>
          <w:rFonts w:eastAsia="Times New Roman" w:cstheme="minorHAnsi"/>
          <w:color w:val="000000" w:themeColor="text1"/>
          <w:sz w:val="22"/>
          <w:szCs w:val="22"/>
        </w:rPr>
        <w:t>,</w:t>
      </w:r>
    </w:p>
    <w:p w14:paraId="0E3BBBE4" w14:textId="77777777" w:rsidR="00213B27" w:rsidRPr="004A3864" w:rsidRDefault="00213B27" w:rsidP="00213B27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2"/>
          <w:szCs w:val="22"/>
        </w:rPr>
      </w:pPr>
      <w:proofErr w:type="gramStart"/>
      <w:r w:rsidRPr="004A3864">
        <w:rPr>
          <w:rFonts w:eastAsia="Times New Roman" w:cstheme="minorHAnsi"/>
          <w:color w:val="000000" w:themeColor="text1"/>
          <w:sz w:val="22"/>
          <w:szCs w:val="22"/>
        </w:rPr>
        <w:t>... a tím</w:t>
      </w:r>
      <w:proofErr w:type="gramEnd"/>
      <w:r w:rsidRPr="004A3864">
        <w:rPr>
          <w:rFonts w:eastAsia="Times New Roman" w:cstheme="minorHAnsi"/>
          <w:color w:val="000000" w:themeColor="text1"/>
          <w:sz w:val="22"/>
          <w:szCs w:val="22"/>
        </w:rPr>
        <w:t xml:space="preserve"> přesvědčit lidi, aby uvěřili, že je naprosto v pořádku a normální posílat děti pracovat na stavbu.</w:t>
      </w:r>
    </w:p>
    <w:p w14:paraId="24A3E1D6" w14:textId="77777777" w:rsidR="00213B27" w:rsidRPr="004A3864" w:rsidRDefault="00213B27" w:rsidP="00213B27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2"/>
          <w:szCs w:val="22"/>
        </w:rPr>
      </w:pPr>
    </w:p>
    <w:p w14:paraId="3E1B9793" w14:textId="77777777" w:rsidR="00213B27" w:rsidRPr="004A3864" w:rsidRDefault="00213B27" w:rsidP="00213B27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2"/>
          <w:szCs w:val="22"/>
        </w:rPr>
      </w:pPr>
      <w:r w:rsidRPr="004A3864">
        <w:rPr>
          <w:rFonts w:eastAsia="Times New Roman" w:cstheme="minorHAnsi"/>
          <w:color w:val="000000" w:themeColor="text1"/>
          <w:sz w:val="22"/>
          <w:szCs w:val="22"/>
        </w:rPr>
        <w:t>Zdroje:</w:t>
      </w:r>
    </w:p>
    <w:p w14:paraId="77D5C7E6" w14:textId="2D384145" w:rsidR="00D13919" w:rsidRPr="00D13919" w:rsidRDefault="00D13919" w:rsidP="00D13919">
      <w:pPr>
        <w:pStyle w:val="Odstavecseseznamem"/>
        <w:numPr>
          <w:ilvl w:val="0"/>
          <w:numId w:val="2"/>
        </w:numPr>
        <w:rPr>
          <w:rFonts w:eastAsia="Times New Roman" w:cstheme="minorHAnsi"/>
          <w:color w:val="000000" w:themeColor="text1"/>
          <w:sz w:val="22"/>
          <w:szCs w:val="22"/>
        </w:rPr>
      </w:pPr>
      <w:r w:rsidRPr="00D13919">
        <w:rPr>
          <w:rFonts w:eastAsia="Times New Roman" w:cstheme="minorHAnsi"/>
          <w:color w:val="000000" w:themeColor="text1"/>
          <w:sz w:val="22"/>
          <w:szCs w:val="22"/>
        </w:rPr>
        <w:t>Člověk v</w:t>
      </w:r>
      <w:r w:rsidR="00E70D84">
        <w:rPr>
          <w:rFonts w:eastAsia="Times New Roman" w:cstheme="minorHAnsi"/>
          <w:color w:val="000000" w:themeColor="text1"/>
          <w:sz w:val="22"/>
          <w:szCs w:val="22"/>
        </w:rPr>
        <w:t> </w:t>
      </w:r>
      <w:r w:rsidRPr="00D13919">
        <w:rPr>
          <w:rFonts w:eastAsia="Times New Roman" w:cstheme="minorHAnsi"/>
          <w:color w:val="000000" w:themeColor="text1"/>
          <w:sz w:val="22"/>
          <w:szCs w:val="22"/>
        </w:rPr>
        <w:t>tísni</w:t>
      </w:r>
      <w:r w:rsidR="00E70D84">
        <w:rPr>
          <w:rFonts w:eastAsia="Times New Roman" w:cstheme="minorHAnsi"/>
          <w:color w:val="000000" w:themeColor="text1"/>
          <w:sz w:val="22"/>
          <w:szCs w:val="22"/>
        </w:rPr>
        <w:t>.</w:t>
      </w:r>
      <w:r w:rsidRPr="00D13919">
        <w:rPr>
          <w:rFonts w:eastAsia="Times New Roman" w:cstheme="minorHAnsi"/>
          <w:color w:val="000000" w:themeColor="text1"/>
          <w:sz w:val="22"/>
          <w:szCs w:val="22"/>
        </w:rPr>
        <w:t xml:space="preserve"> (nedatováno). </w:t>
      </w:r>
      <w:r w:rsidRPr="00D13919">
        <w:rPr>
          <w:rFonts w:eastAsia="Times New Roman" w:cstheme="minorHAnsi"/>
          <w:i/>
          <w:iCs/>
          <w:color w:val="000000" w:themeColor="text1"/>
          <w:sz w:val="22"/>
          <w:szCs w:val="22"/>
        </w:rPr>
        <w:t>Propaganda</w:t>
      </w:r>
      <w:r w:rsidRPr="00D13919">
        <w:rPr>
          <w:rFonts w:eastAsia="Times New Roman" w:cstheme="minorHAnsi"/>
          <w:color w:val="000000" w:themeColor="text1"/>
          <w:sz w:val="22"/>
          <w:szCs w:val="22"/>
        </w:rPr>
        <w:t xml:space="preserve">. [online, cit. 19. </w:t>
      </w:r>
      <w:r w:rsidR="005D0D78">
        <w:rPr>
          <w:rFonts w:eastAsia="Times New Roman" w:cstheme="minorHAnsi"/>
          <w:color w:val="000000" w:themeColor="text1"/>
          <w:sz w:val="22"/>
          <w:szCs w:val="22"/>
        </w:rPr>
        <w:t>3.</w:t>
      </w:r>
      <w:r w:rsidRPr="00D13919">
        <w:rPr>
          <w:rFonts w:eastAsia="Times New Roman" w:cstheme="minorHAnsi"/>
          <w:color w:val="000000" w:themeColor="text1"/>
          <w:sz w:val="22"/>
          <w:szCs w:val="22"/>
        </w:rPr>
        <w:t xml:space="preserve"> 2024]. Dostupné z: </w:t>
      </w:r>
      <w:hyperlink r:id="rId6" w:history="1">
        <w:r w:rsidRPr="0035147D">
          <w:rPr>
            <w:rStyle w:val="Hypertextovodkaz"/>
            <w:rFonts w:eastAsia="Times New Roman" w:cstheme="minorHAnsi"/>
            <w:sz w:val="22"/>
            <w:szCs w:val="22"/>
          </w:rPr>
          <w:t>https://www.jsns.cz/lekce/15269-propaganda</w:t>
        </w:r>
      </w:hyperlink>
      <w:r w:rsidRPr="00D13919">
        <w:rPr>
          <w:rFonts w:eastAsia="Times New Roman" w:cstheme="minorHAnsi"/>
          <w:color w:val="000000" w:themeColor="text1"/>
          <w:sz w:val="22"/>
          <w:szCs w:val="22"/>
        </w:rPr>
        <w:t>.</w:t>
      </w:r>
      <w:r>
        <w:rPr>
          <w:rFonts w:eastAsia="Times New Roman" w:cstheme="minorHAnsi"/>
          <w:color w:val="000000" w:themeColor="text1"/>
          <w:sz w:val="22"/>
          <w:szCs w:val="22"/>
        </w:rPr>
        <w:t xml:space="preserve"> </w:t>
      </w:r>
    </w:p>
    <w:p w14:paraId="1F92638B" w14:textId="49D22FCF" w:rsidR="00D13919" w:rsidRPr="00D13919" w:rsidRDefault="00D13919" w:rsidP="00D13919">
      <w:pPr>
        <w:pStyle w:val="Odstavecseseznamem"/>
        <w:numPr>
          <w:ilvl w:val="0"/>
          <w:numId w:val="2"/>
        </w:numPr>
        <w:rPr>
          <w:rFonts w:eastAsia="Times New Roman" w:cstheme="minorHAnsi"/>
          <w:sz w:val="22"/>
          <w:szCs w:val="22"/>
        </w:rPr>
      </w:pPr>
      <w:r w:rsidRPr="00D13919">
        <w:rPr>
          <w:rFonts w:eastAsia="Times New Roman" w:cstheme="minorHAnsi"/>
          <w:sz w:val="22"/>
          <w:szCs w:val="22"/>
        </w:rPr>
        <w:t xml:space="preserve">Ministerstvo vnitra České republiky. (nedatováno). </w:t>
      </w:r>
      <w:r w:rsidRPr="00D13919">
        <w:rPr>
          <w:rFonts w:eastAsia="Times New Roman" w:cstheme="minorHAnsi"/>
          <w:i/>
          <w:iCs/>
          <w:sz w:val="22"/>
          <w:szCs w:val="22"/>
        </w:rPr>
        <w:t>Definice dezinformací a propagandy</w:t>
      </w:r>
      <w:r w:rsidR="005D0D78">
        <w:rPr>
          <w:rFonts w:eastAsia="Times New Roman" w:cstheme="minorHAnsi"/>
          <w:sz w:val="22"/>
          <w:szCs w:val="22"/>
        </w:rPr>
        <w:t>. [online, cit. 19. 3.</w:t>
      </w:r>
      <w:r w:rsidRPr="00D13919">
        <w:rPr>
          <w:rFonts w:eastAsia="Times New Roman" w:cstheme="minorHAnsi"/>
          <w:sz w:val="22"/>
          <w:szCs w:val="22"/>
        </w:rPr>
        <w:t xml:space="preserve"> 2024]. Dostupné z: </w:t>
      </w:r>
      <w:hyperlink r:id="rId7" w:history="1">
        <w:r w:rsidRPr="0035147D">
          <w:rPr>
            <w:rStyle w:val="Hypertextovodkaz"/>
            <w:rFonts w:eastAsia="Times New Roman" w:cstheme="minorHAnsi"/>
            <w:sz w:val="22"/>
            <w:szCs w:val="22"/>
          </w:rPr>
          <w:t>https://www.mvcr.cz/chh/clanek/definice-dezinformaci-a-propagandy.aspx</w:t>
        </w:r>
      </w:hyperlink>
      <w:r w:rsidRPr="00D13919">
        <w:rPr>
          <w:rFonts w:eastAsia="Times New Roman" w:cstheme="minorHAnsi"/>
          <w:sz w:val="22"/>
          <w:szCs w:val="22"/>
        </w:rPr>
        <w:t>.</w:t>
      </w:r>
      <w:r>
        <w:rPr>
          <w:rFonts w:eastAsia="Times New Roman" w:cstheme="minorHAnsi"/>
          <w:sz w:val="22"/>
          <w:szCs w:val="22"/>
        </w:rPr>
        <w:t xml:space="preserve"> </w:t>
      </w:r>
    </w:p>
    <w:p w14:paraId="1DFE7CE7" w14:textId="327BA82A" w:rsidR="00C8519D" w:rsidRPr="00C8519D" w:rsidRDefault="00C8519D" w:rsidP="00C8519D">
      <w:pPr>
        <w:pStyle w:val="Odstavecseseznamem"/>
        <w:numPr>
          <w:ilvl w:val="0"/>
          <w:numId w:val="2"/>
        </w:numPr>
        <w:rPr>
          <w:rFonts w:eastAsia="Times New Roman" w:cstheme="minorHAnsi"/>
          <w:sz w:val="22"/>
          <w:szCs w:val="22"/>
        </w:rPr>
      </w:pPr>
      <w:r w:rsidRPr="00C8519D">
        <w:rPr>
          <w:rFonts w:eastAsia="Times New Roman" w:cstheme="minorHAnsi"/>
          <w:sz w:val="22"/>
          <w:szCs w:val="22"/>
        </w:rPr>
        <w:t>O</w:t>
      </w:r>
      <w:r w:rsidRPr="00C8519D">
        <w:rPr>
          <w:rFonts w:eastAsia="Times New Roman" w:cstheme="minorHAnsi"/>
          <w:sz w:val="22"/>
          <w:szCs w:val="22"/>
          <w:vertAlign w:val="subscript"/>
        </w:rPr>
        <w:t>2</w:t>
      </w:r>
      <w:r w:rsidRPr="00C8519D">
        <w:rPr>
          <w:rFonts w:eastAsia="Times New Roman" w:cstheme="minorHAnsi"/>
          <w:sz w:val="22"/>
          <w:szCs w:val="22"/>
        </w:rPr>
        <w:t xml:space="preserve"> Chytrá škola. (nedatováno). </w:t>
      </w:r>
      <w:r w:rsidRPr="00C8519D">
        <w:rPr>
          <w:rFonts w:eastAsia="Times New Roman" w:cstheme="minorHAnsi"/>
          <w:i/>
          <w:iCs/>
          <w:sz w:val="22"/>
          <w:szCs w:val="22"/>
        </w:rPr>
        <w:t>Co je a není propaganda? (1/3)</w:t>
      </w:r>
      <w:r w:rsidRPr="00C8519D">
        <w:rPr>
          <w:rFonts w:eastAsia="Times New Roman" w:cstheme="minorHAnsi"/>
          <w:sz w:val="22"/>
          <w:szCs w:val="22"/>
        </w:rPr>
        <w:t xml:space="preserve">. [online, cit. 19. </w:t>
      </w:r>
      <w:r w:rsidR="005D0D78">
        <w:rPr>
          <w:rFonts w:eastAsia="Times New Roman" w:cstheme="minorHAnsi"/>
          <w:sz w:val="22"/>
          <w:szCs w:val="22"/>
        </w:rPr>
        <w:t>3.</w:t>
      </w:r>
      <w:bookmarkStart w:id="0" w:name="_GoBack"/>
      <w:bookmarkEnd w:id="0"/>
      <w:r w:rsidRPr="00C8519D">
        <w:rPr>
          <w:rFonts w:eastAsia="Times New Roman" w:cstheme="minorHAnsi"/>
          <w:sz w:val="22"/>
          <w:szCs w:val="22"/>
        </w:rPr>
        <w:t xml:space="preserve"> 2024]. Dostupné z: </w:t>
      </w:r>
      <w:hyperlink r:id="rId8" w:history="1">
        <w:r w:rsidRPr="0035147D">
          <w:rPr>
            <w:rStyle w:val="Hypertextovodkaz"/>
            <w:rFonts w:eastAsia="Times New Roman" w:cstheme="minorHAnsi"/>
            <w:sz w:val="22"/>
            <w:szCs w:val="22"/>
          </w:rPr>
          <w:t>https://vyuka.o2chytraskola.cz/clanek/41/propaganda-a-cenzura/</w:t>
        </w:r>
      </w:hyperlink>
      <w:r w:rsidRPr="00C8519D">
        <w:rPr>
          <w:rFonts w:eastAsia="Times New Roman" w:cstheme="minorHAnsi"/>
          <w:sz w:val="22"/>
          <w:szCs w:val="22"/>
        </w:rPr>
        <w:t>.</w:t>
      </w:r>
      <w:r>
        <w:rPr>
          <w:rFonts w:eastAsia="Times New Roman" w:cstheme="minorHAnsi"/>
          <w:sz w:val="22"/>
          <w:szCs w:val="22"/>
        </w:rPr>
        <w:t xml:space="preserve"> </w:t>
      </w:r>
    </w:p>
    <w:p w14:paraId="6A3DEAA7" w14:textId="77777777" w:rsidR="00213B27" w:rsidRPr="00C8519D" w:rsidRDefault="00213B27" w:rsidP="00213B27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2"/>
          <w:szCs w:val="22"/>
        </w:rPr>
      </w:pPr>
    </w:p>
    <w:p w14:paraId="645FFF0E" w14:textId="77777777" w:rsidR="00213B27" w:rsidRPr="00C8519D" w:rsidRDefault="00213B27" w:rsidP="00213B27">
      <w:pPr>
        <w:spacing w:after="160" w:line="259" w:lineRule="auto"/>
        <w:rPr>
          <w:rFonts w:eastAsia="Times New Roman" w:cstheme="minorHAnsi"/>
          <w:b/>
          <w:bCs/>
          <w:color w:val="000000" w:themeColor="text1"/>
          <w:sz w:val="28"/>
          <w:szCs w:val="28"/>
        </w:rPr>
      </w:pPr>
    </w:p>
    <w:p w14:paraId="51C895A0" w14:textId="77777777" w:rsidR="00213B27" w:rsidRPr="00C8519D" w:rsidRDefault="00213B27" w:rsidP="00213B27">
      <w:pPr>
        <w:spacing w:after="160" w:line="259" w:lineRule="auto"/>
        <w:rPr>
          <w:rFonts w:eastAsia="Times New Roman" w:cstheme="minorHAnsi"/>
          <w:b/>
          <w:bCs/>
          <w:color w:val="000000" w:themeColor="text1"/>
          <w:sz w:val="28"/>
          <w:szCs w:val="28"/>
        </w:rPr>
      </w:pPr>
    </w:p>
    <w:p w14:paraId="1720F74A" w14:textId="77777777" w:rsidR="00213B27" w:rsidRPr="00C8519D" w:rsidRDefault="00213B27" w:rsidP="00213B27">
      <w:pPr>
        <w:spacing w:after="160" w:line="259" w:lineRule="auto"/>
        <w:rPr>
          <w:rFonts w:eastAsia="Times New Roman" w:cstheme="minorHAnsi"/>
          <w:b/>
          <w:bCs/>
          <w:color w:val="000000" w:themeColor="text1"/>
          <w:sz w:val="28"/>
          <w:szCs w:val="28"/>
        </w:rPr>
      </w:pPr>
    </w:p>
    <w:p w14:paraId="66BB9564" w14:textId="77777777" w:rsidR="00213B27" w:rsidRPr="00C8519D" w:rsidRDefault="00213B27" w:rsidP="00213B27">
      <w:pPr>
        <w:spacing w:after="160" w:line="259" w:lineRule="auto"/>
        <w:rPr>
          <w:rFonts w:eastAsia="Times New Roman" w:cstheme="minorHAnsi"/>
          <w:b/>
          <w:bCs/>
          <w:color w:val="000000" w:themeColor="text1"/>
          <w:sz w:val="28"/>
          <w:szCs w:val="28"/>
        </w:rPr>
      </w:pPr>
    </w:p>
    <w:p w14:paraId="455F106B" w14:textId="77777777" w:rsidR="00213B27" w:rsidRPr="00C8519D" w:rsidRDefault="00213B27" w:rsidP="00213B27">
      <w:pPr>
        <w:spacing w:after="160" w:line="259" w:lineRule="auto"/>
        <w:rPr>
          <w:rFonts w:eastAsia="Times New Roman" w:cstheme="minorHAnsi"/>
          <w:b/>
          <w:bCs/>
          <w:color w:val="000000" w:themeColor="text1"/>
          <w:sz w:val="28"/>
          <w:szCs w:val="28"/>
        </w:rPr>
      </w:pPr>
    </w:p>
    <w:p w14:paraId="6B05B2B5" w14:textId="77777777" w:rsidR="001D27A4" w:rsidRPr="004A3864" w:rsidRDefault="001D27A4">
      <w:pPr>
        <w:rPr>
          <w:rFonts w:cstheme="minorHAnsi"/>
        </w:rPr>
      </w:pPr>
    </w:p>
    <w:sectPr w:rsidR="001D27A4" w:rsidRPr="004A38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3CF7"/>
    <w:multiLevelType w:val="multilevel"/>
    <w:tmpl w:val="258025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45146A0"/>
    <w:multiLevelType w:val="multilevel"/>
    <w:tmpl w:val="467691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A75"/>
    <w:rsid w:val="001D27A4"/>
    <w:rsid w:val="002065DF"/>
    <w:rsid w:val="00213B27"/>
    <w:rsid w:val="003B4A75"/>
    <w:rsid w:val="004A3864"/>
    <w:rsid w:val="005D0D78"/>
    <w:rsid w:val="008C0F76"/>
    <w:rsid w:val="00A634CC"/>
    <w:rsid w:val="00B439EF"/>
    <w:rsid w:val="00C8519D"/>
    <w:rsid w:val="00D13919"/>
    <w:rsid w:val="00E7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83B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13B27"/>
    <w:pPr>
      <w:suppressAutoHyphens/>
      <w:spacing w:after="0" w:line="240" w:lineRule="auto"/>
    </w:pPr>
    <w:rPr>
      <w:rFonts w:eastAsiaTheme="minorEastAs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13B27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13B27"/>
    <w:pPr>
      <w:ind w:left="720"/>
      <w:contextualSpacing/>
    </w:p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D13919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2065DF"/>
    <w:pPr>
      <w:spacing w:after="0" w:line="240" w:lineRule="auto"/>
    </w:pPr>
    <w:rPr>
      <w:rFonts w:eastAsiaTheme="minorEastAsia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2065D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065D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065DF"/>
    <w:rPr>
      <w:rFonts w:eastAsiaTheme="minorEastAsi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065D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065DF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13B27"/>
    <w:pPr>
      <w:suppressAutoHyphens/>
      <w:spacing w:after="0" w:line="240" w:lineRule="auto"/>
    </w:pPr>
    <w:rPr>
      <w:rFonts w:eastAsiaTheme="minorEastAs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13B27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13B27"/>
    <w:pPr>
      <w:ind w:left="720"/>
      <w:contextualSpacing/>
    </w:p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D13919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2065DF"/>
    <w:pPr>
      <w:spacing w:after="0" w:line="240" w:lineRule="auto"/>
    </w:pPr>
    <w:rPr>
      <w:rFonts w:eastAsiaTheme="minorEastAsia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2065D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065D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065DF"/>
    <w:rPr>
      <w:rFonts w:eastAsiaTheme="minorEastAsi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065D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065DF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yuka.o2chytraskola.cz/clanek/41/propaganda-a-cenzur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mvcr.cz/chh/clanek/definice-dezinformaci-a-propagandy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jsns.cz/lekce/15269-propagand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248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Arpok</dc:creator>
  <cp:lastModifiedBy>Arpok</cp:lastModifiedBy>
  <cp:revision>8</cp:revision>
  <cp:lastPrinted>2024-12-02T12:59:00Z</cp:lastPrinted>
  <dcterms:created xsi:type="dcterms:W3CDTF">2024-08-09T09:21:00Z</dcterms:created>
  <dcterms:modified xsi:type="dcterms:W3CDTF">2024-12-02T13:00:00Z</dcterms:modified>
</cp:coreProperties>
</file>